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000000"/>
          <w:sz w:val="32"/>
          <w:rtl w:val="off"/>
          <w:lang w:val="ru-RU"/>
        </w:rPr>
      </w:pPr>
      <w:r>
        <w:rPr>
          <w:rFonts w:ascii="Times New Roman" w:cs="Times New Roman" w:hAnsi="Times New Roman"/>
          <w:b/>
          <w:color w:val="000000"/>
          <w:sz w:val="32"/>
          <w:rtl w:val="off"/>
          <w:lang w:val="ru-RU"/>
        </w:rPr>
        <w:t>Работа с родителями: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000000"/>
          <w:sz w:val="32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32"/>
          <w:rtl w:val="off"/>
          <w:lang w:val="ru-RU"/>
        </w:rPr>
        <w:t>по проекту “Кубики, кубики подарили нам”</w:t>
      </w:r>
      <w:r>
        <w:rPr>
          <w:rFonts w:ascii="Times New Roman" w:cs="Times New Roman" w:hAnsi="Times New Roman"/>
          <w:b/>
          <w:color w:val="000000"/>
          <w:sz w:val="32"/>
          <w:rtl w:val="off"/>
          <w:lang w:val="en-US"/>
        </w:rPr>
        <w:t xml:space="preserve"> .            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color w:val="000000"/>
          <w:sz w:val="32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32"/>
          <w:lang w:val="en-US"/>
        </w:rPr>
      </w:pPr>
      <w:r>
        <w:rPr>
          <w:rFonts w:ascii="Times New Roman" w:cs="Times New Roman" w:hAnsi="Times New Roman"/>
          <w:b/>
          <w:color w:val="000000"/>
          <w:sz w:val="32"/>
          <w:rtl w:val="off"/>
          <w:lang w:val="en-US"/>
        </w:rPr>
        <w:t>Консультация для родителей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32"/>
          <w:lang w:val="en-US"/>
        </w:rPr>
      </w:pPr>
      <w:r>
        <w:rPr>
          <w:rFonts w:ascii="Times New Roman" w:cs="Times New Roman" w:hAnsi="Times New Roman"/>
          <w:b/>
          <w:color w:val="000000"/>
          <w:sz w:val="32"/>
          <w:rtl w:val="off"/>
          <w:lang w:val="en-US"/>
        </w:rPr>
        <w:t>«Игры с кубиками с детьми раннего возраста»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right"/>
        <w:rPr>
          <w:rFonts w:ascii="times new roman"/>
          <w:color w:val="000000"/>
          <w:sz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righ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«</w:t>
      </w: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Желтые кубики – это песок,</w:t>
      </w:r>
      <w:r>
        <w:rPr>
          <w:rFonts w:ascii="Times New Roman" w:cs="Times New Roman" w:hAnsi="Times New Roman"/>
          <w:color w:val="000000"/>
          <w:sz w:val="32"/>
          <w:szCs w:val="32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Кубик зеленый – весенний лесок,</w:t>
      </w:r>
      <w:r>
        <w:rPr>
          <w:rFonts w:ascii="Times New Roman" w:cs="Times New Roman" w:hAnsi="Times New Roman"/>
          <w:color w:val="000000"/>
          <w:sz w:val="32"/>
          <w:szCs w:val="32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Синие кубики – это река.</w:t>
      </w:r>
      <w:r>
        <w:rPr>
          <w:rFonts w:ascii="Times New Roman" w:cs="Times New Roman" w:hAnsi="Times New Roman"/>
          <w:color w:val="000000"/>
          <w:sz w:val="32"/>
          <w:szCs w:val="32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Кубиков  много – река широка.</w:t>
      </w:r>
      <w:r>
        <w:rPr>
          <w:rFonts w:ascii="Times New Roman" w:cs="Times New Roman" w:hAnsi="Times New Roman"/>
          <w:color w:val="000000"/>
          <w:sz w:val="32"/>
          <w:szCs w:val="32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Кубик на кубик – растут этажи:</w:t>
      </w:r>
      <w:r>
        <w:rPr>
          <w:rFonts w:ascii="Times New Roman" w:cs="Times New Roman" w:hAnsi="Times New Roman"/>
          <w:color w:val="000000"/>
          <w:sz w:val="32"/>
          <w:szCs w:val="32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Учатся строить дома малыши».</w:t>
      </w:r>
      <w:r>
        <w:rPr>
          <w:rFonts w:ascii="Times New Roman" w:cs="Times New Roman" w:hAnsi="Times New Roman"/>
          <w:color w:val="000000"/>
          <w:sz w:val="32"/>
          <w:szCs w:val="32"/>
          <w:lang w:val="en-US"/>
        </w:rPr>
        <w:br w:type="textWrapping"/>
      </w:r>
      <w:r>
        <w:rPr>
          <w:rFonts w:ascii="Times New Roman" w:cs="Times New Roman" w:hAnsi="Times New Roman"/>
          <w:i/>
          <w:color w:val="000000"/>
          <w:sz w:val="32"/>
          <w:szCs w:val="32"/>
          <w:rtl w:val="off"/>
          <w:lang w:val="en-US"/>
        </w:rPr>
        <w:t>С. Приварская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Конструирование – одно из самых любимых детских занятий. Оно является не только увлекательным, но и полезным для малыша. Конструирование создает необходимый фундамент всестороннего развития ребенка.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04" w:right="0" w:firstLine="0"/>
        <w:jc w:val="both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color w:val="000000"/>
          <w:sz w:val="32"/>
          <w:szCs w:val="32"/>
          <w:rtl w:val="off"/>
          <w:lang w:val="en-US"/>
        </w:rPr>
        <w:t xml:space="preserve">Цель конструирования: </w:t>
      </w: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Развивать познавательные интересы детей через предметно- игровую деятельность с кубиками.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04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b/>
          <w:color w:val="000000"/>
          <w:sz w:val="32"/>
          <w:szCs w:val="32"/>
          <w:rtl w:val="off"/>
          <w:lang w:val="en-US"/>
        </w:rPr>
        <w:t>Задачи конструирования: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Знакомить с кубиком как с геометрическим телом и его свойством (может стоять на любой стороне, устойчив).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Учить различать шар и куб в процессе практических действий.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Учить соотносить кубики по цвету и размеру по принципу «такой - не такой».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Учить соотносить кубики с фигурными отверстиями коробки.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Знакомить со способами конструирования, побуждать обыгрывать простейшие постройки.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Знакомить с орудийными действиями.</w:t>
      </w:r>
    </w:p>
    <w:p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Расширять кругозор   детей, используя   постройки из кубиков    в разных видах деятельности.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  Каких только конструкторов не встретишь сейчас на полках магазинов! Конструкторы на магнитах, на липучках, «лего-совместимые» конструкторы и просто «Lego». Ко многим конструкторам прилагаются подробные схемы сборки той или иной модели…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Но все-таки неувядающей популярностью продолжают пользоваться обыкновенные кубики и наборы «Строитель», в которых кроме кубиков есть кирпичики, цилиндры, призмы и другие детали.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В разном возрасте кубики используются по-разному. Годовалый младенец, старательно пыхтя, выстраивает «башню» из двух кубиков. Трехлетняя девчушка строит из кубиков кроватку для пупсика. А семилетний мальчик сооружает огромный дворец Снежной королевы или крепость крестоносцев.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Возраст 1.5 – 3 года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   Показывайте и называйте малышу все геометрические тела, которые есть в строительном наборе. Это могут быть: кубики, кирпичики, цилиндры, треугольные призмы, арки, брусочки, конусы, другие фигуры. Иногда попадаются наборы с деревянными шариками, если у вас такого нет, добавьте в игры два небольших резиновых мяча.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- Попросите малыша разложить фигуры по форме в кучки или раздать те или иные фигуры разным игрушкам (мишке – кубики, зайке – кирпичики и т.д.)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- Сложите несколько фигур в небольшой мешочек и попросите малыша достать из него, не глядя, ту или иную фигуру, показывая или называя такую же.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- Играя с малышом, обязательно называйте цвета деталей. Можете поиграть в игру с раскладыванием фигур по своим домикам (домики можно вырезать из цветной бумаги или сделать из коробок из-под обуви, покрасив их в нужные цвета, но этот вариант более трудоемкий).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  Если есть одинаковые геометрические тела разного размера, рассмотрите, где большие, а где маленькие. Сделайте домики разного размера (бумажные силуэты одного, нейтрального, цвета или коробки двух и более размеров, по необходимости)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- Попробуйте катать разные геометрические тела с горочки. Горочкой может послужить любая досочка, поставленная на большой кубик или стопку книг. Кубики, кирпичики и призмы медленно сползают с горки, шарики и цилиндрики (если поставить их на бок) быстро скатываются. Обратите внимание ребенка на то, как меняется скорость движения фигур с горки, если менять угол ее наклона в ту или иную сторону.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>- Покажите ребенку, как строить башенки. Пусть он сам попробует. Рассмотрите с ним, какие фигуры можно ставить друг на друга, а какие невозможно (шарики, например, цилиндрики боком, треугольные призмы).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  Строить настоящие большие сооружения малыш еще не может, но с большим удовольствием сделает примитивный домик для пупсика или солдатика (два кирпичика стоят на торце, один лежит поперек сверху). Девочки охотно делают кроватки, креслица, скамеечки для кукол и матрешек. Мальчики строят гаражи для маленьких машинок.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  Чтобы развивать в малыше желание строить большие сооружения, продолжайте строить их сами. Вовлекайте ребенка в совместное строительство – пусть он вовремя подает вам нужную деталь или ставит любую в то место, которое ему понравилось. Не сердитесь на малыша, если он нарушил ваш замысел.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2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2"/>
          <w:rtl w:val="off"/>
          <w:lang w:val="en-US"/>
        </w:rPr>
        <w:t xml:space="preserve">       Старайтесь не делать однотонных построек, каждый раз придумывайте что-нибудь новенькое, необычное. Не стремитесь к симметрии, наоборот, делайте ни на что не похожие замки, дома, дворцы.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lang w:val="en-US"/>
        </w:rPr>
        <w:br w:type="textWrapping"/>
      </w:r>
    </w:p>
    <w:p>
      <w:pPr>
        <w:tabs>
          <w:tab w:val="left" w:leader="none" w:pos="2587"/>
        </w:tabs>
        <w:rPr/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mes new roman">
    <w:charset w:val="00"/>
  </w:font>
  <w:font w:name="calibri">
    <w:charset w:val="00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