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tabs>
          <w:tab w:val="left" w:leader="none" w:pos="2251"/>
        </w:tabs>
        <w:rPr/>
      </w:pPr>
      <w:r>
        <w:rPr/>
        <w:drawing xmlns:mc="http://schemas.openxmlformats.org/markup-compatibility/2006">
          <wp:inline>
            <wp:extent cx="5731510" cy="8104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251"/>
        </w:tabs>
        <w:rPr/>
      </w:pPr>
    </w:p>
    <w:p>
      <w:pPr>
        <w:tabs>
          <w:tab w:val="left" w:leader="none" w:pos="2251"/>
        </w:tabs>
        <w:rPr/>
      </w:pPr>
    </w:p>
    <w:p>
      <w:pPr>
        <w:tabs>
          <w:tab w:val="left" w:leader="none" w:pos="2251"/>
        </w:tabs>
        <w:rPr/>
      </w:pPr>
      <w:r>
        <w:rPr/>
        <w:drawing xmlns:mc="http://schemas.openxmlformats.org/markup-compatibility/2006">
          <wp:inline>
            <wp:extent cx="5731510" cy="8101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251"/>
        </w:tabs>
        <w:rPr/>
      </w:pPr>
    </w:p>
    <w:p>
      <w:pPr>
        <w:tabs>
          <w:tab w:val="left" w:leader="none" w:pos="2251"/>
        </w:tabs>
        <w:rPr/>
      </w:pPr>
    </w:p>
    <w:p>
      <w:pPr>
        <w:tabs>
          <w:tab w:val="left" w:leader="none" w:pos="2251"/>
        </w:tabs>
        <w:rPr/>
      </w:pPr>
      <w:r>
        <w:rPr/>
        <w:drawing xmlns:mc="http://schemas.openxmlformats.org/markup-compatibility/2006">
          <wp:inline>
            <wp:extent cx="5731510" cy="8114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251"/>
        </w:tabs>
        <w:rPr/>
      </w:pPr>
    </w:p>
    <w:p>
      <w:pPr>
        <w:tabs>
          <w:tab w:val="left" w:leader="none" w:pos="2251"/>
        </w:tabs>
        <w:rPr/>
      </w:pPr>
    </w:p>
    <w:p>
      <w:pPr>
        <w:tabs>
          <w:tab w:val="left" w:leader="none" w:pos="2251"/>
        </w:tabs>
        <w:rPr/>
      </w:pPr>
      <w:r>
        <w:rPr/>
        <w:drawing xmlns:mc="http://schemas.openxmlformats.org/markup-compatibility/2006">
          <wp:inline>
            <wp:extent cx="6219190" cy="8548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