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t xml:space="preserve">            </w:t>
      </w:r>
    </w:p>
    <w:p>
      <w:pPr>
        <w:spacing w:after="0" w:line="240" w:lineRule="auto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val="ru-RU"/>
        </w:rPr>
        <w:t>Консультация для родителей по проекту “Кубики, кубики подарили нам</w:t>
      </w:r>
    </w:p>
    <w:p>
      <w:pPr>
        <w:spacing w:after="0" w:line="240" w:lineRule="auto"/>
        <w:rPr>
          <w:rFonts w:ascii="Times New Roman" w:cs="Times New Roman" w:hAnsi="Times New Roman"/>
          <w:sz w:val="26"/>
          <w:szCs w:val="26"/>
        </w:rPr>
      </w:pPr>
    </w:p>
    <w:p>
      <w:pPr>
        <w:spacing w:after="0" w:line="240" w:lineRule="auto"/>
        <w:rPr/>
      </w:pPr>
      <w:r>
        <w:rPr>
          <w:rFonts w:ascii="Times New Roman" w:cs="Times New Roman" w:hAnsi="Times New Roman"/>
          <w:sz w:val="26"/>
          <w:szCs w:val="26"/>
          <w:lang w:val="ru-RU"/>
        </w:rPr>
        <w:t>“Игры с кубиками с детьми раннего возраста”.</w:t>
      </w:r>
    </w:p>
    <w:p>
      <w:pPr>
        <w:rPr/>
      </w:pPr>
    </w:p>
    <w:p>
      <w:r>
        <w:rPr/>
        <w:drawing xmlns:mc="http://schemas.openxmlformats.org/markup-compatibility/2006">
          <wp:inline distT="0" distB="0" distL="0" distR="0">
            <wp:extent cx="5628640" cy="559498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/>
        <w:drawing xmlns:mc="http://schemas.openxmlformats.org/markup-compatibility/2006">
          <wp:inline distT="0" distB="0" distL="0" distR="0">
            <wp:extent cx="5731510" cy="810768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/>
        <w:drawing xmlns:mc="http://schemas.openxmlformats.org/markup-compatibility/2006">
          <wp:inline distT="0" distB="0" distL="0" distR="0">
            <wp:extent cx="5731510" cy="810768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  <w:p>
    <w:pPr>
      <w:spacing w:after="0" w:line="240" w:lineRule="auto"/>
      <w:rPr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