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 05.03.2025                                                     Маму поздравляем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“Платочек”. Цель: развитие эмоционального общения ребенка со взрослым, налаживание контакта.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Найди маму”. Цель: учить детей находить детенышей своей мамы, развитие ориентировки в пространстве, развитие речи, внимания, памяти..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“По ровненькой дорожке”.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Пальчиковая игра “Торт”. Цель: учить детей развивать мелкую моторику пальцев рук,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“Солнышко”. Цель: учить детей по сигналу педагога  находить ленточки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 Учимся держать ложку в правой руке”.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Платочек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Животные детеныши ( зайчик, медведь, лиса).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Ленточки разных цветов.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Самообразование Развитие сенсорных способностей у детей раннего возраста по средствам дидактических игр “ Подбери к блюдцам”. Цель: Учить детей соотносить предметы по цвету.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Блюдца, чашки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листьев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площади.Малоподвижная игра “Шарик”. Цель: учить детей повторять движение за педагогом, развитие речи, слуха, памяти, движения.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“Пальчиковые игры детей раннего возраста”.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57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